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7-1104</w:t>
        <w:t xml:space="preserve">.  </w:t>
      </w:r>
      <w:r>
        <w:rPr>
          <w:b/>
        </w:rPr>
        <w:t xml:space="preserve">Negotiable and nonnegotiable document of title</w:t>
      </w:r>
    </w:p>
    <w:p>
      <w:pPr>
        <w:jc w:val="both"/>
        <w:spacing w:before="100" w:after="0"/>
        <w:ind w:start="360"/>
        <w:ind w:firstLine="360"/>
      </w:pPr>
      <w:r>
        <w:rPr>
          <w:b/>
        </w:rPr>
        <w:t>(1)</w:t>
        <w:t xml:space="preserve">.  </w:t>
      </w:r>
      <w:r>
        <w:rPr>
          <w:b/>
        </w:rPr>
      </w:r>
      <w:r>
        <w:t xml:space="preserve"> </w:t>
      </w:r>
      <w:r>
        <w:t xml:space="preserve">Except as otherwise provided in </w:t>
      </w:r>
      <w:r>
        <w:t>subsection (3)</w:t>
      </w:r>
      <w:r>
        <w:t xml:space="preserve">, a document of title is negotiable if by its terms the goods are to be delivered to bearer or to the order of a named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(2)</w:t>
        <w:t xml:space="preserve">.  </w:t>
      </w:r>
      <w:r>
        <w:rPr>
          <w:b/>
        </w:rPr>
      </w:r>
      <w:r>
        <w:t xml:space="preserve"> </w:t>
      </w:r>
      <w:r>
        <w:t xml:space="preserve">A document of title other than one described in </w:t>
      </w:r>
      <w:r>
        <w:t>subsection (1)</w:t>
      </w:r>
      <w:r>
        <w:t xml:space="preserve"> is nonnegotiable.  A bill of lading that states that the goods are consigned to a named person is not made negotiable by a provision that the goods are to be delivered only against an order in a record signed by the same or another named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(3)</w:t>
        <w:t xml:space="preserve">.  </w:t>
      </w:r>
      <w:r>
        <w:rPr>
          <w:b/>
        </w:rPr>
      </w:r>
      <w:r>
        <w:t xml:space="preserve"> </w:t>
      </w:r>
      <w:r>
        <w:t xml:space="preserve">A document of title is nonnegotiable if, at the time it is issued, the document has a conspicuous legend, however expressed, that it is nonnegotiable.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§7-1104. Negotiable and nonnegotiable document of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§7-1104. Negotiable and nonnegotiable document of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§7-1104. NEGOTIABLE AND NONNEGOTIABLE DOCUMENT OF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