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9-1320</w:t>
        <w:t xml:space="preserve">.  </w:t>
      </w:r>
      <w:r>
        <w:rPr>
          <w:b/>
        </w:rPr>
        <w:t xml:space="preserve">Buyer of goods</w:t>
      </w:r>
    </w:p>
    <w:p>
      <w:pPr>
        <w:jc w:val="both"/>
        <w:spacing w:before="100" w:after="0"/>
        <w:ind w:start="360"/>
        <w:ind w:firstLine="360"/>
      </w:pPr>
      <w:r>
        <w:rPr>
          <w:b/>
        </w:rPr>
        <w:t>(1)</w:t>
        <w:t xml:space="preserve">.  </w:t>
      </w:r>
      <w:r>
        <w:rPr>
          <w:b/>
        </w:rPr>
      </w:r>
      <w:r>
        <w:t xml:space="preserve"> </w:t>
      </w:r>
      <w:r>
        <w:t xml:space="preserve">Except as otherwise provided in </w:t>
      </w:r>
      <w:r>
        <w:t>subsection (5)</w:t>
      </w:r>
      <w:r>
        <w:t xml:space="preserve">, a buyer in ordinary course of business, other than a person buying farm products from a person engaged in farming operations, takes free of a security interest created by the buyer's seller, even if the security interest is perfected and the buyer knows of its existence.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100"/>
        <w:ind w:start="360"/>
        <w:ind w:firstLine="360"/>
      </w:pPr>
      <w:r>
        <w:rPr>
          <w:b/>
        </w:rPr>
        <w:t>(2)</w:t>
        <w:t xml:space="preserve">.  </w:t>
      </w:r>
      <w:r>
        <w:rPr>
          <w:b/>
        </w:rPr>
      </w:r>
      <w:r>
        <w:t xml:space="preserve"> </w:t>
      </w:r>
      <w:r>
        <w:t xml:space="preserve">Except as otherwise provided in </w:t>
      </w:r>
      <w:r>
        <w:t>subsection (5)</w:t>
      </w:r>
      <w:r>
        <w:t xml:space="preserve">, a buyer of goods from a person who used or bought the goods for use primarily for personal, family or household purposes takes free of a security interest, even if perfected, if the buyer buys:</w:t>
      </w:r>
    </w:p>
    <w:p>
      <w:pPr>
        <w:jc w:val="both"/>
        <w:spacing w:before="100" w:after="0"/>
        <w:ind w:start="720"/>
      </w:pPr>
      <w:r>
        <w:rPr/>
        <w:t>(a)</w:t>
        <w:t xml:space="preserve">.  </w:t>
      </w:r>
      <w:r>
        <w:rPr/>
      </w:r>
      <w:r>
        <w:t xml:space="preserve">Without knowledge of the security interest;</w:t>
      </w:r>
      <w:r>
        <w:t xml:space="preserve">  </w:t>
      </w:r>
      <w:r xmlns:wp="http://schemas.openxmlformats.org/drawingml/2010/wordprocessingDrawing" xmlns:w15="http://schemas.microsoft.com/office/word/2012/wordml">
        <w:rPr>
          <w:rFonts w:ascii="Arial" w:hAnsi="Arial" w:cs="Arial"/>
          <w:sz w:val="22"/>
          <w:szCs w:val="22"/>
        </w:rPr>
        <w:t xml:space="preserve">[PL 1999, c. 699, Pt. A, §2 (NEW); PL 1999, c. 699, Pt. A, §4 (AFF).]</w:t>
      </w:r>
    </w:p>
    <w:p>
      <w:pPr>
        <w:jc w:val="both"/>
        <w:spacing w:before="100" w:after="0"/>
        <w:ind w:start="720"/>
      </w:pPr>
      <w:r>
        <w:rPr/>
        <w:t>(b)</w:t>
        <w:t xml:space="preserve">.  </w:t>
      </w:r>
      <w:r>
        <w:rPr/>
      </w:r>
      <w:r>
        <w:t xml:space="preserve">For value;</w:t>
      </w:r>
      <w:r>
        <w:t xml:space="preserve">  </w:t>
      </w:r>
      <w:r xmlns:wp="http://schemas.openxmlformats.org/drawingml/2010/wordprocessingDrawing" xmlns:w15="http://schemas.microsoft.com/office/word/2012/wordml">
        <w:rPr>
          <w:rFonts w:ascii="Arial" w:hAnsi="Arial" w:cs="Arial"/>
          <w:sz w:val="22"/>
          <w:szCs w:val="22"/>
        </w:rPr>
        <w:t xml:space="preserve">[PL 1999, c. 699, Pt. A, §2 (NEW); PL 1999, c. 699, Pt. A, §4 (AFF).]</w:t>
      </w:r>
    </w:p>
    <w:p>
      <w:pPr>
        <w:jc w:val="both"/>
        <w:spacing w:before="100" w:after="0"/>
        <w:ind w:start="720"/>
      </w:pPr>
      <w:r>
        <w:rPr/>
        <w:t>(c)</w:t>
        <w:t xml:space="preserve">.  </w:t>
      </w:r>
      <w:r>
        <w:rPr/>
      </w:r>
      <w:r>
        <w:t xml:space="preserve">Primarily for the buyer's personal, family or household purposes; and</w:t>
      </w:r>
      <w:r>
        <w:t xml:space="preserve">  </w:t>
      </w:r>
      <w:r xmlns:wp="http://schemas.openxmlformats.org/drawingml/2010/wordprocessingDrawing" xmlns:w15="http://schemas.microsoft.com/office/word/2012/wordml">
        <w:rPr>
          <w:rFonts w:ascii="Arial" w:hAnsi="Arial" w:cs="Arial"/>
          <w:sz w:val="22"/>
          <w:szCs w:val="22"/>
        </w:rPr>
        <w:t xml:space="preserve">[PL 1999, c. 699, Pt. A, §2 (NEW); PL 1999, c. 699, Pt. A, §4 (AFF).]</w:t>
      </w:r>
    </w:p>
    <w:p>
      <w:pPr>
        <w:jc w:val="both"/>
        <w:spacing w:before="100" w:after="0"/>
        <w:ind w:start="720"/>
      </w:pPr>
      <w:r>
        <w:rPr/>
        <w:t>(d)</w:t>
        <w:t xml:space="preserve">.  </w:t>
      </w:r>
      <w:r>
        <w:rPr/>
      </w:r>
      <w:r>
        <w:t xml:space="preserve">Before the filing of a financing statement covering the goods.</w:t>
      </w:r>
      <w:r>
        <w:t xml:space="preserve">  </w:t>
      </w:r>
      <w:r xmlns:wp="http://schemas.openxmlformats.org/drawingml/2010/wordprocessingDrawing" xmlns:w15="http://schemas.microsoft.com/office/word/2012/wordml">
        <w:rPr>
          <w:rFonts w:ascii="Arial" w:hAnsi="Arial" w:cs="Arial"/>
          <w:sz w:val="22"/>
          <w:szCs w:val="22"/>
        </w:rPr>
        <w:t xml:space="preserve">[PL 1999, c. 699, Pt. A, §2 (NEW); PL 1999, c. 699, Pt. A,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0"/>
        <w:ind w:start="360"/>
        <w:ind w:firstLine="360"/>
      </w:pPr>
      <w:r>
        <w:rPr>
          <w:b/>
        </w:rPr>
        <w:t>(3)</w:t>
        <w:t xml:space="preserve">.  </w:t>
      </w:r>
      <w:r>
        <w:rPr>
          <w:b/>
        </w:rPr>
      </w:r>
      <w:r>
        <w:t xml:space="preserve"> </w:t>
      </w:r>
      <w:r>
        <w:t xml:space="preserve">To the extent that it affects the priority of a security interest over a buyer of goods under </w:t>
      </w:r>
      <w:r>
        <w:t>subsection (2)</w:t>
      </w:r>
      <w:r>
        <w:t xml:space="preserve">, the period of effectiveness of a filing made in the jurisdiction in which the seller is located is governed by </w:t>
      </w:r>
      <w:r>
        <w:t>section 9‑1316, subsections (1)</w:t>
      </w:r>
      <w:r>
        <w:t xml:space="preserve"> and </w:t>
      </w:r>
      <w:r>
        <w:t>(2)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0"/>
        <w:ind w:start="360"/>
        <w:ind w:firstLine="360"/>
      </w:pPr>
      <w:r>
        <w:rPr>
          <w:b/>
        </w:rPr>
        <w:t>(4)</w:t>
        <w:t xml:space="preserve">.  </w:t>
      </w:r>
      <w:r>
        <w:rPr>
          <w:b/>
        </w:rPr>
      </w:r>
      <w:r>
        <w:t xml:space="preserve"> </w:t>
      </w:r>
      <w:r>
        <w:t xml:space="preserve">A buyer in ordinary course of business buying oil, gas or other minerals at the wellhead or minehead or after extraction takes free of an interest arising out of an encumbrance.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0"/>
        <w:ind w:start="360"/>
        <w:ind w:firstLine="360"/>
      </w:pPr>
      <w:r>
        <w:rPr>
          <w:b/>
        </w:rPr>
        <w:t>(5)</w:t>
        <w:t xml:space="preserve">.  </w:t>
      </w:r>
      <w:r>
        <w:rPr>
          <w:b/>
        </w:rPr>
      </w:r>
      <w:r>
        <w:t xml:space="preserve"> </w:t>
      </w:r>
      <w:r>
        <w:t>Subsections (1)</w:t>
      </w:r>
      <w:r>
        <w:t xml:space="preserve"> and </w:t>
      </w:r>
      <w:r>
        <w:t>(2)</w:t>
      </w:r>
      <w:r>
        <w:t xml:space="preserve"> do not affect a security interest in goods in the possession of the secured party under </w:t>
      </w:r>
      <w:r>
        <w:t>section 9‑1313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§A2 (NEW). PL 1999, c. 699, §A4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§9-1320. Buyer of goods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§9-1320. Buyer of goods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11, §9-1320. BUYER OF GOODS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