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9-1606</w:t>
        <w:t xml:space="preserve">.  </w:t>
      </w:r>
      <w:r>
        <w:rPr>
          <w:b/>
        </w:rPr>
        <w:t xml:space="preserve">Time of default for agricultural lien</w:t>
      </w:r>
    </w:p>
    <w:p>
      <w:pPr>
        <w:jc w:val="both"/>
        <w:spacing w:before="100" w:after="100"/>
        <w:ind w:start="360"/>
        <w:ind w:firstLine="360"/>
      </w:pPr>
      <w:r>
        <w:rPr/>
      </w:r>
      <w:r>
        <w:rPr/>
      </w:r>
      <w:r>
        <w:t xml:space="preserve">For purposes of this part, a default occurs in connection with an agricultural lien at the time the secured party becomes entitled to enforce the lien in accordance with the statute under which it was created.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§9-1606. Time of default for agricultural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§9-1606. Time of default for agricultural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§9-1606. TIME OF DEFAULT FOR AGRICULTURAL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