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801-A</w:t>
      </w:r>
    </w:p>
    <w:p>
      <w:pPr>
        <w:jc w:val="center"/>
        <w:ind w:start="360"/>
        <w:spacing w:before="300" w:after="300"/>
      </w:pPr>
      <w:r>
        <w:rPr>
          <w:b/>
        </w:rPr>
        <w:t xml:space="preserve">FOREST CERTIFICATION INCENTIVE COST-SHARE FUND</w:t>
      </w:r>
    </w:p>
    <w:p>
      <w:pPr>
        <w:jc w:val="center"/>
        <w:ind w:start="360"/>
        <w:spacing w:before="300" w:after="300"/>
      </w:pPr>
      <w:r>
        <w:rPr>
          <w:b/>
        </w:rPr>
        <w:t>(REPEALED)</w:t>
      </w:r>
    </w:p>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801-A. FOREST CERTIFICATION INCENTIVE COST-SHARE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801-A. FOREST CERTIFICATION INCENTIVE COST-SHARE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801-A. FOREST CERTIFICATION INCENTIVE COST-SHARE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