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Duties of supervisors and district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Duties of supervisors and district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 DUTIES OF SUPERVISORS AND DISTRICT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