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10304</w:t>
        <w:t xml:space="preserve">.  </w:t>
      </w:r>
      <w:r>
        <w:rPr>
          <w:b/>
        </w:rPr>
        <w:t xml:space="preserve">Relation to other funding</w:t>
      </w:r>
    </w:p>
    <w:p>
      <w:pPr>
        <w:jc w:val="both"/>
        <w:spacing w:before="100" w:after="100"/>
        <w:ind w:start="360"/>
        <w:ind w:firstLine="360"/>
      </w:pPr>
      <w:r>
        <w:rPr/>
      </w:r>
      <w:r>
        <w:rPr/>
      </w:r>
      <w:r>
        <w:t xml:space="preserve">The fund supplements sources and levels of funding appropriated and allocated by the Legislature to natural resources agencies.  It is the intent of the Legislature that a grant received from the fund not be considered a substitute for funds previously appropriated or allocated to a natural resources agency.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§10304. Relation to other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§10304. Relation to other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§10304. RELATION TO OTHER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