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10307</w:t>
        <w:t xml:space="preserve">.  </w:t>
      </w:r>
      <w:r>
        <w:rPr>
          <w:b/>
        </w:rPr>
        <w:t xml:space="preserve">Expenditures from fund; distribution</w:t>
      </w:r>
    </w:p>
    <w:p>
      <w:pPr>
        <w:jc w:val="both"/>
        <w:spacing w:before="100" w:after="100"/>
        <w:ind w:start="360"/>
        <w:ind w:firstLine="360"/>
      </w:pPr>
      <w:r>
        <w:rPr/>
      </w:r>
      <w:r>
        <w:rPr/>
      </w:r>
      <w:r>
        <w:t xml:space="preserve">The board shall make grants, applications for which must be reviewed in accordance with </w:t>
      </w:r>
      <w:r>
        <w:t>section 10309</w:t>
      </w:r>
      <w:r>
        <w:t xml:space="preserve">, to natural resources agencies for projects found consistent with the criteria and the strategic plan adopted by the board pursuant to </w:t>
      </w:r>
      <w:r>
        <w:t>section 10308, subsection 5, paragraph A</w:t>
      </w:r>
      <w:r>
        <w:t xml:space="preserve">.  Except as otherwise provided in this subchapter, the board shall distribute annually available grant money as follows: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Fisheries and wildlife; habitat conservation.</w:t>
        <w:t xml:space="preserve"> </w:t>
      </w:r>
      <w:r>
        <w:t xml:space="preserve"> </w:t>
      </w:r>
      <w:r>
        <w:t xml:space="preserve">Thirty-five percent of the money in the fund for fisheries and wildlife and habitat conservation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Public lands and access; outdoor recreation sites and facilities.</w:t>
        <w:t xml:space="preserve"> </w:t>
      </w:r>
      <w:r>
        <w:t xml:space="preserve"> </w:t>
      </w:r>
      <w:r>
        <w:t xml:space="preserve">Thirty-five percent of the money in the fund for acquisition and management of public lands, parks, wildlife conservation areas and public access and outdoor recreation sites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Endangered and threatened species.</w:t>
        <w:t xml:space="preserve"> </w:t>
      </w:r>
      <w:r>
        <w:t xml:space="preserve"> </w:t>
      </w:r>
      <w:r>
        <w:t xml:space="preserve">Fifteen percent of the money in the fund for endangered and threatened species conservation projects;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Natural resources law enforcement.</w:t>
        <w:t xml:space="preserve"> </w:t>
      </w:r>
      <w:r>
        <w:t xml:space="preserve"> </w:t>
      </w:r>
      <w:r>
        <w:t xml:space="preserve">Fifteen percent of the money in the fund for natural resources law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board is authorized to carry forward money in any of the percentage categories of this section into a successive year in the same category in the event that this carry-over better serves the strategic plan or that no grant applications in a particular year adhere to the strategic plan for a particular percentage category.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§10307. Expenditures from fund;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§10307. Expenditures from fund;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§10307. EXPENDITURES FROM FUND;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