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Mi'kmaq Nation Tribal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§15 (AMD).]</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PL 2023, c. 646,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§10853. Complimentary and reduced-rate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§10853. Complimentary and reduced-rate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§10853. COMPLIMENTARY AND REDUCED-RATE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