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11156</w:t>
        <w:t xml:space="preserve">.  </w:t>
      </w:r>
      <w:r>
        <w:rPr>
          <w:b/>
        </w:rPr>
        <w:t xml:space="preserve">Pheasant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§11156.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§11156.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§11156.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