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11305</w:t>
        <w:t xml:space="preserve">.  </w:t>
      </w:r>
      <w:r>
        <w:rPr>
          <w:b/>
        </w:rPr>
        <w:t xml:space="preserve">Unlawful firearms for hunting bear</w:t>
      </w:r>
    </w:p>
    <w:p>
      <w:pPr>
        <w:jc w:val="both"/>
        <w:spacing w:before="100" w:after="0"/>
        <w:ind w:start="360"/>
        <w:ind w:firstLine="360"/>
      </w:pPr>
      <w:r>
        <w:rPr>
          <w:b/>
        </w:rPr>
        <w:t>1</w:t>
        <w:t xml:space="preserve">.  </w:t>
      </w:r>
      <w:r>
        <w:rPr>
          <w:b/>
        </w:rPr>
        <w:t xml:space="preserve">Prohibition.</w:t>
        <w:t xml:space="preserve"> </w:t>
      </w:r>
      <w:r>
        <w:t xml:space="preserve"> </w:t>
      </w:r>
      <w:r>
        <w:t xml:space="preserve">A person may not use a .17 or .22 caliber rimfire firearm or a shotgun using shot loads to hunt bear.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301, §19 (NEW).]</w:t>
      </w:r>
    </w:p>
    <w:p>
      <w:pPr>
        <w:jc w:val="both"/>
        <w:spacing w:before="100" w:after="0"/>
        <w:ind w:start="360"/>
        <w:ind w:firstLine="360"/>
      </w:pPr>
      <w:r>
        <w:rPr>
          <w:b/>
        </w:rPr>
        <w:t>2</w:t>
        <w:t xml:space="preserve">.  </w:t>
      </w:r>
      <w:r>
        <w:rPr>
          <w:b/>
        </w:rPr>
        <w:t xml:space="preserve">Penalty.</w:t>
        <w:t xml:space="preserve"> </w:t>
      </w:r>
      <w:r>
        <w:t xml:space="preserve"> </w:t>
      </w:r>
      <w:r>
        <w:t xml:space="preserve">A person who violates </w:t>
      </w:r>
      <w:r>
        <w:t>subsection 1</w:t>
      </w:r>
      <w:r>
        <w:t xml:space="preserve"> commits a Class E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301, §19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301, §19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§11305. Unlawful firearms for hunting bear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§11305. Unlawful firearms for hunting bear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§11305. UNLAWFUL FIREARMS FOR HUNTING BEAR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