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12509</w:t>
        <w:t xml:space="preserve">.  </w:t>
      </w:r>
      <w:r>
        <w:rPr>
          <w:b/>
        </w:rPr>
        <w:t xml:space="preserve">Permit to import live freshwater fish or eggs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import or transport any live fish or gametes into the State or receive or have in that person's possession fish or gametes so introduced, imported or transported without a valid permit issued under this section.</w:t>
      </w:r>
    </w:p>
    <w:p>
      <w:pPr>
        <w:jc w:val="both"/>
        <w:spacing w:before="100" w:after="0"/>
        <w:ind w:start="360"/>
      </w:pPr>
      <w:r>
        <w:rPr/>
      </w:r>
      <w:r>
        <w:rPr/>
      </w:r>
      <w:r>
        <w:t xml:space="preserve">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grant permits to introduce, import or transport any live fish or gametes into the State or to receive or have in possession fish or gametes so introduced, imported or transported if the commissioner determines that the species does not pose an unreasonable risk to any species of fish or other organism after evaluating fish health, habitat and population management issues.  The commissioner may not adopt rules or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Application.</w:t>
        <w:t xml:space="preserve"> </w:t>
      </w:r>
      <w:r>
        <w:t xml:space="preserve"> </w:t>
      </w:r>
      <w:r>
        <w:t xml:space="preserve">Importers shall, when requesting a permit issued pursuant to </w:t>
      </w:r>
      <w:r>
        <w:t>subsection 2</w:t>
      </w:r>
      <w:r>
        <w:t xml:space="preserve">, provide the commissioner with the following information:</w:t>
      </w:r>
    </w:p>
    <w:p>
      <w:pPr>
        <w:jc w:val="both"/>
        <w:spacing w:before="100" w:after="0"/>
        <w:ind w:start="720"/>
      </w:pPr>
      <w:r>
        <w:rPr/>
        <w:t>A</w:t>
        <w:t xml:space="preserve">.  </w:t>
      </w:r>
      <w:r>
        <w:rPr/>
      </w:r>
      <w:r>
        <w:t xml:space="preserve">The number and species to be imported;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name and address of the 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statement from a fish health inspector certified by the American Fisheries Society, a fish pathologist certified by the American Fisheries Society or a licensed accredited veterinarian, certifying that the fish or gametes are from sources that show no evidence of viral hemorrhagic septicemia, infectious pancreatic necrosis, infectious hematopoietic necrosis, Myxosomo cerebralis or other diseases that may threaten fish stocks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professionally recognized tests or analyses, including evaluation of fish health, habitat or population management issues that the commissioner may require by rule to ensure that the species will not pose an unreasonable risk to any species of fish or other organism.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allowing the possession and importation of certain species of tropical fish and goldfish without a permit, for aquarium purposes only, if the commissioner determines that the species does not pose an unreasonable risk to any species of fish or other organism after evaluating fish health, habitat and population management issues.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§B256 (AMD). PL 2003, c. 655, §B422 (AFF). PL 2019, c. 113, Pt. C,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§12509. Permit to import live freshwater fish or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§12509. Permit to import live freshwater fish or eggs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§12509. PERMIT TO IMPORT LIVE FRESHWATER FISH OR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