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12513</w:t>
        <w:t xml:space="preserve">.  </w:t>
      </w:r>
      <w:r>
        <w:rPr>
          <w:b/>
        </w:rPr>
        <w:t xml:space="preserve">Permit to take baitfish</w:t>
      </w:r>
    </w:p>
    <w:p>
      <w:pPr>
        <w:jc w:val="both"/>
        <w:spacing w:before="100" w:after="100"/>
        <w:ind w:start="360"/>
        <w:ind w:firstLine="360"/>
      </w:pPr>
      <w:r>
        <w:rPr/>
      </w:r>
      <w:r>
        <w:rPr/>
      </w:r>
      <w:r>
        <w:t xml:space="preserve">Whenever inland waters are closed to fishing, the commissioner may issue permits to take baitfish for bait purposes from those waters.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§12513. Permit to take baitfish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§12513. Permit to take baitfish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§12513. PERMIT TO TAKE BAITFISH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