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12603</w:t>
        <w:t xml:space="preserve">.  </w:t>
      </w:r>
      <w:r>
        <w:rPr>
          <w:b/>
        </w:rPr>
        <w:t xml:space="preserve">Failure to observe Maine Indian Tribal-State Commission rules and regulations</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fish in any pond or in that portion of any river or stream subject to the authority of the Maine Indian Tribal-State Commission created by </w:t>
      </w:r>
      <w:r>
        <w:t>Title 30, Part 4</w:t>
      </w:r>
      <w:r>
        <w:t xml:space="preserve"> in violation of the rules or regulations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§267 (NEW); PL 2003, c. 655, Pt. B, §422 (AFF).]</w:t>
      </w:r>
    </w:p>
    <w:p>
      <w:pPr>
        <w:jc w:val="both"/>
        <w:spacing w:before="100" w:after="0"/>
        <w:ind w:start="720"/>
      </w:pPr>
      <w:r>
        <w:rPr/>
        <w:t>B</w:t>
        <w:t xml:space="preserve">.  </w:t>
      </w:r>
      <w:r>
        <w:rPr/>
      </w:r>
      <w:r>
        <w:t xml:space="preserve">A person who violates </w:t>
      </w:r>
      <w:r>
        <w:t>subsection 1</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§267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§267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§B267 (AMD).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§12603. Failure to observe Maine Indian Tribal-State Commission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§12603. Failure to observe Maine Indian Tribal-State Commission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§12603. FAILURE TO OBSERVE MAINE INDIAN TRIBAL-STATE COMMISSION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