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12613</w:t>
        <w:t xml:space="preserve">.  </w:t>
      </w:r>
      <w:r>
        <w:rPr>
          <w:b/>
        </w:rPr>
        <w:t xml:space="preserve">Possessing gift fish</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who does not possess a valid fishing license issued under </w:t>
      </w:r>
      <w:r>
        <w:t>chapter 913</w:t>
      </w:r>
      <w:r>
        <w:t xml:space="preserve"> or this chapter may not possess a fish or any part of a fish given to that person except a person may possess in that person's domicile a gift fish that was lawfully caught and is plainly labeled with the name of the person who gave the fish and the year, month and day the fish was caught by that person.  This section does not apply to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§12613. Possessing gift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§12613. Possessing gift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§12613. POSSESSING GIFT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