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12806</w:t>
        <w:t xml:space="preserve">.  </w:t>
      </w:r>
      <w:r>
        <w:rPr>
          <w:b/>
        </w:rPr>
        <w:t xml:space="preserve">State and local cooperation</w:t>
      </w:r>
    </w:p>
    <w:p>
      <w:pPr>
        <w:jc w:val="both"/>
        <w:spacing w:before="100" w:after="100"/>
        <w:ind w:start="360"/>
        <w:ind w:firstLine="360"/>
      </w:pPr>
      <w:r>
        <w:rPr>
          <w:b/>
        </w:rPr>
        <w:t>1</w:t>
        <w:t xml:space="preserve">.  </w:t>
      </w:r>
      <w:r>
        <w:rPr>
          <w:b/>
        </w:rPr>
        <w:t xml:space="preserve">Review.</w:t>
        <w:t xml:space="preserve"> </w:t>
      </w:r>
      <w:r>
        <w:t xml:space="preserve"> </w:t>
      </w:r>
      <w:r>
        <w:t xml:space="preserve">A state agency or municipal government may not permit, license, fund or carry out projects that will:</w:t>
      </w:r>
    </w:p>
    <w:p>
      <w:pPr>
        <w:jc w:val="both"/>
        <w:spacing w:before="100" w:after="0"/>
        <w:ind w:start="720"/>
      </w:pPr>
      <w:r>
        <w:rPr/>
        <w:t>A</w:t>
        <w:t xml:space="preserve">.  </w:t>
      </w:r>
      <w:r>
        <w:rPr/>
      </w:r>
      <w:r>
        <w:t xml:space="preserve">Significantly alter the habitat identified under </w:t>
      </w:r>
      <w:r>
        <w:t>section 12804, subsection 2</w:t>
      </w:r>
      <w:r>
        <w:t xml:space="preserve"> of any species designated as threatened or endangered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Violate protection guidelines set forth in </w:t>
      </w:r>
      <w:r>
        <w:t>section 12804,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shall make information under </w:t>
      </w:r>
      <w:r>
        <w:t>section 12804</w:t>
      </w:r>
      <w:r>
        <w:t xml:space="preserve"> available to all other state agencies and municipal governments for the purposes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Variance.</w:t>
        <w:t xml:space="preserve"> </w:t>
      </w:r>
      <w:r>
        <w:t xml:space="preserve"> </w:t>
      </w:r>
      <w:r>
        <w:t xml:space="preserve">Notwithstanding </w:t>
      </w:r>
      <w:r>
        <w:t>subsection 1</w:t>
      </w:r>
      <w:r>
        <w:t xml:space="preserve">, state agencies and municipal governments may grant a variance from this section provided that:</w:t>
      </w:r>
    </w:p>
    <w:p>
      <w:pPr>
        <w:jc w:val="both"/>
        <w:spacing w:before="100" w:after="0"/>
        <w:ind w:start="720"/>
      </w:pPr>
      <w:r>
        <w:rPr/>
        <w:t>A</w:t>
        <w:t xml:space="preserve">.  </w:t>
      </w:r>
      <w:r>
        <w:rPr/>
      </w:r>
      <w:r>
        <w:t xml:space="preserve">The commissioner certifies that the proposed action would not pose a significant risk to any population of endangered or threatened species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public hearing is held on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Pending applications.</w:t>
        <w:t xml:space="preserve"> </w:t>
      </w:r>
      <w:r>
        <w:t xml:space="preserve"> </w:t>
      </w:r>
      <w:r>
        <w:t xml:space="preserve">Notwithstanding </w:t>
      </w:r>
      <w:r>
        <w:t>Title 1, section 302</w:t>
      </w:r>
      <w:r>
        <w:t xml:space="preserve">, applications pending at the time of adoption of habitats and guidelines under </w:t>
      </w:r>
      <w:r>
        <w:t>section 12804, subsections 2</w:t>
      </w:r>
      <w:r>
        <w:t xml:space="preserve"> and </w:t>
      </w:r>
      <w:r>
        <w:t>3</w:t>
      </w:r>
      <w:r>
        <w:t xml:space="preserve"> are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§12806. State and 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§12806. State and 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§12806. STATE AND 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