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  Beginning January 1, 2025, the fee under this subparagraph is $40 for operating on inland waters of the State and $15 for operating only on tidal waters of the State. Beginning January 1, 2028, the fee under this subparagraph is $50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Beginning January 1, 2025, the fee under this subparagraph is $45 for operating on inland waters of the State and $20 for operating only on tidal waters of the State. Beginning January 1, 2028, the fee under this subparagraph is $55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  Beginning January 1, 2025, the fee under this subparagraph is $51 for operating on inland waters of the State and $26 for operating only on tidal waters of the State. Beginning January 1, 2028, the fee under this subparagraph is $61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§2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greater than 115 horsepower, the fee is $44 for operating on inland waters of the State and $34 for operating only on tidal waters of the State.  Beginning January 1, 2020, the fee under this paragraph is $49 for operating on inland waters of the State and $34 for operating only on tidal waters of the State. Beginning January 1, 2025, the fee under this paragraph is $59 for operating on inland waters of the State and $34 for operating only on tidal waters of the State. Beginning January 1, 2028, the fee under this paragraph is $69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§3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§§2, 3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Dissemination of educational materials required; watercraft dealers.</w:t>
        <w:t xml:space="preserve"> </w:t>
      </w:r>
      <w:r>
        <w:t xml:space="preserve"> </w:t>
      </w:r>
      <w:r>
        <w:t xml:space="preserve">A watercraft dealer who sells a motorboat in the State shall provide the purchaser of that motorboat with information related to the boater safety and education courses offered by the department as well as information related to those operators who are required to complete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PL 2023, c. 611, §2 (AMD). PL 2023, c. 612,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 Certificate of number, identification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 Certificate of number, identification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§13056. CERTIFICATE OF NUMBER, IDENTIFICATION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