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1861</w:t>
        <w:t xml:space="preserve">.  </w:t>
      </w:r>
      <w:r>
        <w:rPr>
          <w:b/>
        </w:rPr>
        <w:t xml:space="preserve">Submerged Lands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All revenues from the activities of the bureau under </w:t>
      </w:r>
      <w:r>
        <w:t>section 1862</w:t>
      </w:r>
      <w:r>
        <w:t xml:space="preserve"> must be deposited with the Treasurer of State to be credited to the Submerged Lands Fund, which is established as a nonlapsing, dedicated fund and referred to in this section as the "fund."  Any interest earned on this money must be credited to the fund.  The fund is administered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2</w:t>
        <w:t xml:space="preserve">.  </w:t>
      </w:r>
      <w:r>
        <w:rPr>
          <w:b/>
        </w:rPr>
        <w:t xml:space="preserve">Permissible uses.</w:t>
        <w:t xml:space="preserve"> </w:t>
      </w:r>
      <w:r>
        <w:t xml:space="preserve"> </w:t>
      </w:r>
      <w:r>
        <w:t xml:space="preserve">Money credited to the fund may be used to manage submerged lands pursuant to </w:t>
      </w:r>
      <w:r>
        <w:t>section 1862</w:t>
      </w:r>
      <w:r>
        <w:t xml:space="preserve">, provide grants to municipalities pursuant to </w:t>
      </w:r>
      <w:r>
        <w:t>section 1863</w:t>
      </w:r>
      <w:r>
        <w:t xml:space="preserve"> and remove abandoned watercraft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3</w:t>
        <w:t xml:space="preserve">.  </w:t>
      </w:r>
      <w:r>
        <w:rPr>
          <w:b/>
        </w:rPr>
        <w:t xml:space="preserve">Expenditure of funds.</w:t>
        <w:t xml:space="preserve"> </w:t>
      </w:r>
      <w:r>
        <w:t xml:space="preserve"> </w:t>
      </w:r>
      <w:r>
        <w:t xml:space="preserve">Money in the fund must be expended on the operating expenses of the bureau's submerged lands leasing program pursuant to </w:t>
      </w:r>
      <w:r>
        <w:t>section 1862</w:t>
      </w:r>
      <w:r>
        <w:t xml:space="preserve">.  Any funds available in excess of the amount needed for the bureau's submerged lands operating expenses must be expended in accordance with </w:t>
      </w:r>
      <w:r>
        <w:t>section 1863</w:t>
      </w:r>
      <w:r>
        <w:t xml:space="preserve"> and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§1861. Submerged Lands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§1861. Submerged Lands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§1861. SUBMERGED LANDS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