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1874</w:t>
        <w:t xml:space="preserve">.  </w:t>
      </w:r>
      <w:r>
        <w:rPr>
          <w:b/>
        </w:rPr>
        <w:t xml:space="preserve">Administration</w:t>
      </w:r>
    </w:p>
    <w:p>
      <w:pPr>
        <w:jc w:val="both"/>
        <w:spacing w:before="100" w:after="100"/>
        <w:ind w:start="360"/>
        <w:ind w:firstLine="360"/>
      </w:pPr>
      <w:r>
        <w:rPr/>
      </w:r>
      <w:r>
        <w:rPr/>
      </w:r>
      <w:r>
        <w:t xml:space="preserve">The bureau shall administer the waterway under this subchapter, with the exception of powers to control activities previously delegated by law to the department's Bureau of Forestry, the Department of Inland Fisheries and Wildlife and the Board of Environmental Protection.  The director shall create technical committees as needed to advance the waterway's purposes.</w:t>
      </w:r>
      <w:r>
        <w:t xml:space="preserve">  </w:t>
      </w:r>
      <w:r xmlns:wp="http://schemas.openxmlformats.org/drawingml/2010/wordprocessingDrawing" xmlns:w15="http://schemas.microsoft.com/office/word/2012/wordml">
        <w:rPr>
          <w:rFonts w:ascii="Arial" w:hAnsi="Arial" w:cs="Arial"/>
          <w:sz w:val="22"/>
          <w:szCs w:val="22"/>
        </w:rPr>
        <w:t xml:space="preserve">[PL 2007, c. 146, §2 (AMD); PL 2011, c. 657, Pt. W,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146, §2 (AMD). PL 2011, c. 657, Pt. W, §7 (REV). PL 2013, c. 405, Pt. A, §§23,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