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Limitation of authority</w:t>
      </w:r>
    </w:p>
    <w:p>
      <w:pPr>
        <w:jc w:val="both"/>
        <w:spacing w:before="100" w:after="100"/>
        <w:ind w:start="360"/>
        <w:ind w:firstLine="360"/>
      </w:pPr>
      <w:r>
        <w:rPr/>
      </w:r>
      <w:r>
        <w:rPr/>
      </w:r>
      <w:r>
        <w:t xml:space="preserve">The powers and duties conferred upon the Department of Agriculture, Conservation and Forestry or the soil and water conservation districts under this chapter shall not infringe upon or impair in any way the rights of any owner of riparian lands located upon, or any rights heretofore or hereafter granted by the Legislature to any person, firm, corporation, association, public or quasi-public body to use or take the water in or from, any lake, pond, river, stream, brook or any other body of water located wholly or partly in the State of Maine.</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§3 (AMD). PL 1969, c. 477, §1 (AMD). PL 1995, c. 532, §17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Limitation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Limitation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 LIMITATION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