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Aquaculture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7 members who are appointed by the commissioner as follows.</w:t>
      </w:r>
    </w:p>
    <w:p>
      <w:pPr>
        <w:jc w:val="both"/>
        <w:spacing w:before="100" w:after="0"/>
        <w:ind w:start="720"/>
      </w:pPr>
      <w:r>
        <w:rPr/>
        <w:t>A</w:t>
        <w:t xml:space="preserve">.  </w:t>
      </w:r>
      <w:r>
        <w:rPr/>
      </w:r>
      <w:r>
        <w:t xml:space="preserve">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The commissioner shall appoint one member who is a member of the public with expertise in matters related to the work of the council.  If the number of members appointed pursuant to </w:t>
      </w:r>
      <w:r>
        <w:t>paragraph A</w:t>
      </w:r>
      <w:r>
        <w:t xml:space="preserve"> is fewer than 6, then the commissioner shall appoint one additional member who is a member of the public with expertise in matters related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In making appointments, the commissioner may consider nominations from the council and from associations representing the interests of persons involved in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A member may not serve more than 2 consecutive terms.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Matters of interest to the aquaculture industry, including, but not limited to, the leasing and licensing process, seed source, animal health, gear, compliance and research; and</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Expenditures from the Aquaculture Management Fund for the purposes described in </w:t>
      </w:r>
      <w:r>
        <w:t>section 6072‑D,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The council shall bring forward to the commissioner matters of concern to the aquaculture industry and assist the commissioner with the dissemination of information to members of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4</w:t>
        <w:t xml:space="preserve">.  </w:t>
      </w:r>
      <w:r>
        <w:rPr>
          <w:b/>
        </w:rPr>
        <w:t xml:space="preserve"> 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twice each year, and the meetings may not be held within the same quarter.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w:pPr>
        <w:jc w:val="both"/>
        <w:spacing w:before="100" w:after="0"/>
        <w:ind w:start="360"/>
        <w:ind w:firstLine="360"/>
      </w:pPr>
      <w:r>
        <w:rPr>
          <w:b/>
        </w:rPr>
        <w:t>7</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PL 2023, c. 556,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§6080. AQUACULTURE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