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§6141. Lobster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§6141. LOBSTER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