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§6432. Methods of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§6432. METHODS OF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