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6803-A</w:t>
        <w:t xml:space="preserve">.  </w:t>
      </w:r>
      <w:r>
        <w:rPr>
          <w:b/>
        </w:rPr>
        <w:t xml:space="preserve">Seaweed buyer's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seaweed buyer's license is required for a person who purchases more than 10 wet tons or an equivalent number of dry tons annually directly from seaweed harvesters holding a permit under </w:t>
      </w:r>
      <w:r>
        <w:t>section 6803</w:t>
      </w:r>
      <w:r>
        <w:t xml:space="preserve">.  A person may not engage in the activities authorized under this section without a current seaweed buyer's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§30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seaweed buyer's license may buy, possess, ship, transport or sell seaweed.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seaweed buyer's license is:</w:t>
      </w:r>
    </w:p>
    <w:p>
      <w:pPr>
        <w:jc w:val="both"/>
        <w:spacing w:before="100" w:after="0"/>
        <w:ind w:start="720"/>
      </w:pPr>
      <w:r>
        <w:rPr/>
        <w:t>A</w:t>
        <w:t xml:space="preserve">.  </w:t>
      </w:r>
      <w:r>
        <w:rPr/>
      </w:r>
      <w:r>
        <w:t xml:space="preserve">Two hundred dollars for a resident seaweed buyer's license; and</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w:pPr>
        <w:jc w:val="both"/>
        <w:spacing w:before="100" w:after="0"/>
        <w:ind w:start="720"/>
      </w:pPr>
      <w:r>
        <w:rPr/>
        <w:t>B</w:t>
        <w:t xml:space="preserve">.  </w:t>
      </w:r>
      <w:r>
        <w:rPr/>
      </w:r>
      <w:r>
        <w:t xml:space="preserve">Five hundred dollars for a nonresident seaweed buyer's license.</w:t>
      </w:r>
      <w:r>
        <w:t xml:space="preserve">  </w:t>
      </w:r>
      <w:r xmlns:wp="http://schemas.openxmlformats.org/drawingml/2010/wordprocessingDrawing" xmlns:w15="http://schemas.microsoft.com/office/word/2012/wordml">
        <w:rPr>
          <w:rFonts w:ascii="Arial" w:hAnsi="Arial" w:cs="Arial"/>
          <w:sz w:val="22"/>
          <w:szCs w:val="22"/>
        </w:rPr>
        <w:t xml:space="preserve">[PL 2009, c. 283,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4</w:t>
        <w:t xml:space="preserve">.  </w:t>
      </w:r>
      <w:r>
        <w:rPr>
          <w:b/>
        </w:rPr>
        <w:t xml:space="preserve">Disposition of fees.</w:t>
        <w:t xml:space="preserve"> </w:t>
      </w:r>
      <w:r>
        <w:t xml:space="preserve"> </w:t>
      </w:r>
      <w:r>
        <w:t xml:space="preserve">Fees collected under this section accrue to the Seaweed Management Fund established in </w:t>
      </w:r>
      <w:r>
        <w:t>section 6806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not less than $100 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w:t>
      </w:r>
    </w:p>
    <w:p>
      <w:pPr>
        <w:jc w:val="both"/>
        <w:spacing w:before="100" w:after="100"/>
        <w:ind w:start="360"/>
        <w:ind w:firstLine="360"/>
      </w:pPr>
      <w:r>
        <w:rPr/>
      </w:r>
      <w:r>
        <w:rPr/>
      </w:r>
      <w:r>
        <w:t xml:space="preserve">A holder of a license issued under this section may buy only from a harvester who possesses a seaweed permit under </w:t>
      </w:r>
      <w:r>
        <w:t>section 6803</w:t>
      </w:r>
      <w:r>
        <w:t xml:space="preserve">.  The harvester shall make the seaweed permit available for inspection upon the license holder’s request.</w:t>
      </w:r>
      <w:r>
        <w:t xml:space="preserve">  </w:t>
      </w:r>
      <w:r xmlns:wp="http://schemas.openxmlformats.org/drawingml/2010/wordprocessingDrawing" xmlns:w15="http://schemas.microsoft.com/office/word/2012/wordml">
        <w:rPr>
          <w:rFonts w:ascii="Arial" w:hAnsi="Arial" w:cs="Arial"/>
          <w:sz w:val="22"/>
          <w:szCs w:val="22"/>
        </w:rPr>
        <w:t xml:space="preserve">[PL 2009,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283, §1 (NEW). PL 2009, c. 478, §1 (AMD). PL 2009, c. 561,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§6803-A. Seaweed buyer's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§6803-A. Seaweed buyer's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§6803-A. SEAWEED BUYER'S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