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6860</w:t>
        <w:t xml:space="preserve">.  </w:t>
      </w:r>
      <w:r>
        <w:rPr>
          <w:b/>
        </w:rPr>
        <w:t xml:space="preserve">Labeling of shrimp</w:t>
      </w:r>
    </w:p>
    <w:p>
      <w:pPr>
        <w:jc w:val="both"/>
        <w:spacing w:before="100" w:after="100"/>
        <w:ind w:start="360"/>
        <w:ind w:firstLine="360"/>
      </w:pPr>
      <w:r>
        <w:rPr/>
      </w:r>
      <w:r>
        <w:rPr/>
      </w:r>
      <w:r>
        <w:t xml:space="preserve">A person who processes and packages shrimp without clearly marking the country or state of origin on the container commits a civil violation for which a forfeiture of not less than $100 and not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1999, c. 771, Pt. B, §10 (AMD); PL 1999, c. 771, Pt. D, §§1,2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1999, c. 771, §B10 (AMD). PL 1999, c. 771, §§D1,2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§6860. Labeling of shrimp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§6860. Labeling of shrimp</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§6860. LABELING OF SHRIMP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