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6971</w:t>
        <w:t xml:space="preserve">.  </w:t>
      </w:r>
      <w:r>
        <w:rPr>
          <w:b/>
        </w:rPr>
        <w:t xml:space="preserve">Commissioner's authority over marine endangered and threatened species</w:t>
      </w:r>
    </w:p>
    <w:p>
      <w:pPr>
        <w:jc w:val="both"/>
        <w:spacing w:before="100" w:after="100"/>
        <w:ind w:start="360"/>
        <w:ind w:firstLine="360"/>
      </w:pPr>
      <w:r>
        <w:rPr/>
      </w:r>
      <w:r>
        <w:rPr/>
      </w:r>
      <w:r>
        <w:t xml:space="preserve">In accordance with </w:t>
      </w:r>
      <w:r>
        <w:t>section 12801</w:t>
      </w:r>
      <w:r>
        <w:t xml:space="preserve">, the commissioner has authority as provided in this chapter to carry out the purpose of that section with regard to marine species.</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§6971. Commissioner's authority over marine endangered and threatened species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§6971. Commissioner's authority over marine endangered and threatened species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§6971. COMMISSIONER'S AUTHORITY OVER MARINE ENDANGERED AND THREATENED SPECIES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