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6974</w:t>
        <w:t xml:space="preserve">.  </w:t>
      </w:r>
      <w:r>
        <w:rPr>
          <w:b/>
        </w:rPr>
        <w:t xml:space="preserve">Legislative authority</w:t>
      </w:r>
    </w:p>
    <w:p>
      <w:pPr>
        <w:jc w:val="both"/>
        <w:spacing w:before="100" w:after="100"/>
        <w:ind w:start="360"/>
        <w:ind w:firstLine="360"/>
      </w:pPr>
      <w:r>
        <w:rPr/>
      </w:r>
      <w:r>
        <w:rPr/>
      </w:r>
      <w:r>
        <w:t xml:space="preserve">The Legislature has sole authority to designate a marine species as a state endangered or state threatened species or to remove a species or change the designation of a species listed in </w:t>
      </w:r>
      <w:r>
        <w:t>section 6975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573,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573,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§6974. Legislative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§6974. Legislative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§6974. LEGISLATIVE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