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8888</w:t>
        <w:t xml:space="preserve">.  </w:t>
      </w:r>
      <w:r>
        <w:rPr>
          <w:b/>
        </w:rPr>
        <w:t xml:space="preserve">Enforcement</w:t>
      </w:r>
    </w:p>
    <w:p>
      <w:pPr>
        <w:jc w:val="both"/>
        <w:spacing w:before="100" w:after="100"/>
        <w:ind w:start="360"/>
        <w:ind w:firstLine="360"/>
      </w:pPr>
      <w:r>
        <w:rPr/>
      </w:r>
      <w:r>
        <w:rPr/>
      </w:r>
      <w:r>
        <w:t xml:space="preserve">Enforcement of this subchapter shall be by any state, county or municipal law enforcement officer, including forest rangers and field foresters of the Bureau of Forestry and wardens of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