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9337</w:t>
        <w:t xml:space="preserve">.  </w:t>
      </w:r>
      <w:r>
        <w:rPr>
          <w:b/>
        </w:rPr>
        <w:t xml:space="preserve">Primary processors</w:t>
      </w:r>
    </w:p>
    <w:p>
      <w:pPr>
        <w:jc w:val="both"/>
        <w:spacing w:before="100" w:after="100"/>
        <w:ind w:start="360"/>
        <w:ind w:firstLine="360"/>
      </w:pPr>
      <w:r>
        <w:rPr/>
      </w:r>
      <w:r>
        <w:rPr/>
      </w:r>
      <w:r>
        <w:t xml:space="preserve">All primary processors of wood products, including, but not limited to, sawmills, except a person processing for that person's own domestic use, and owners of lands on which those processing plants are located shall keep any slash resulting from cutting forest growth removed for a distance of 50 feet in all directions from the mill, sawdust pile and any open incinerator. Live trees need not be removed from the 50-foot cleared area but coniferous trees must be pruned to a height of 10 feet above the ground and dead snags must be removed. The sawdust pile must be clear of all trees, free of slabs and edgings and located not less than 25 feet from any open incinerator and mill. All such processors and owners shall observe the slash provisions of this Article when on, or after change of, location.</w:t>
      </w:r>
      <w:r>
        <w:t xml:space="preserve">  </w:t>
      </w:r>
      <w:r xmlns:wp="http://schemas.openxmlformats.org/drawingml/2010/wordprocessingDrawing" xmlns:w15="http://schemas.microsoft.com/office/word/2012/wordml">
        <w:rPr>
          <w:rFonts w:ascii="Arial" w:hAnsi="Arial" w:cs="Arial"/>
          <w:sz w:val="22"/>
          <w:szCs w:val="22"/>
        </w:rPr>
        <w:t xml:space="preserve">[RR 2021, c. 2, Pt. B, §71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RR 2021, c. 2, Pt. B, §71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§9337. Primary processors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§9337. Primary processors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§9337. PRIMARY PROCESSORS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