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A. Railroad right-of-way; director may order flammable materials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A. Railroad right-of-way; director may order flammable materials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5-A. RAILROAD RIGHT-OF-WAY; DIRECTOR MAY ORDER FLAMMABLE MATERIALS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