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1215</w:t>
        <w:t xml:space="preserve">.  </w:t>
      </w:r>
      <w:r>
        <w:rPr>
          <w:b/>
        </w:rPr>
        <w:t xml:space="preserve">Application of chapter to corporations previously authorized to carry on activities in State</w:t>
      </w:r>
    </w:p>
    <w:p>
      <w:pPr>
        <w:jc w:val="both"/>
        <w:spacing w:before="100" w:after="0"/>
        <w:ind w:start="360"/>
        <w:ind w:firstLine="360"/>
      </w:pPr>
      <w:r>
        <w:rPr>
          <w:b/>
        </w:rPr>
        <w:t>1</w:t>
        <w:t xml:space="preserve">.  </w:t>
      </w:r>
      <w:r>
        <w:rPr>
          <w:b/>
        </w:rPr>
        <w:t xml:space="preserve">Continuation of activities.</w:t>
        <w:t xml:space="preserve"> </w:t>
      </w:r>
      <w:r>
        <w:t xml:space="preserve"> </w:t>
      </w:r>
      <w:r>
        <w:t xml:space="preserve">Every foreign corporation which, on the effective date of this Act, is authorized to carry on activities in this State shall continue to have such authority for any purpose or purposes for which a corporation might secure authority under this chapter. Such foreign corporation shall have the same rights and privileges, and shall be subject to the same duties, limitations, restrictions, liabilities and penalties as a foreign corporation authorized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w:t>
      </w:r>
    </w:p>
    <w:p>
      <w:pPr>
        <w:jc w:val="both"/>
        <w:spacing w:before="100" w:after="0"/>
        <w:ind w:start="360"/>
        <w:ind w:firstLine="360"/>
      </w:pPr>
      <w:r>
        <w:rPr>
          <w:b/>
        </w:rPr>
        <w:t>2</w:t>
        <w:t xml:space="preserve">.  </w:t>
      </w:r>
      <w:r>
        <w:rPr>
          <w:b/>
        </w:rPr>
        <w:t xml:space="preserve">Qualified to carry on activities.</w:t>
        <w:t xml:space="preserve"> </w:t>
      </w:r>
      <w:r>
        <w:t xml:space="preserve"> </w:t>
      </w:r>
      <w:r>
        <w:t xml:space="preserve">Every foreign corporation which, on the effective date of this Act, was lawfully carrying on activities in this State, even though not theretofore qualified as a foreign corporation or otherwise expressly authorized to do so, may continue to carry on such activities, and in every other respect such foreign corporation shall be treated as though it were a foreign corporation authorized to carry on activities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§1215. Application of chapter to corporations previously authorized to carry on activities in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§1215. Application of chapter to corporations previously authorized to carry on activities in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13-B, §1215. APPLICATION OF CHAPTER TO CORPORATIONS PREVIOUSLY AUTHORIZED TO CARRY ON ACTIVITIES IN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