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1304</w:t>
        <w:t xml:space="preserve">.  </w:t>
      </w:r>
      <w:r>
        <w:rPr>
          <w:b/>
        </w:rPr>
        <w:t xml:space="preserve">Certified copies of documents filed with Secretary of State to be received in evidence</w:t>
      </w:r>
    </w:p>
    <w:p>
      <w:pPr>
        <w:jc w:val="both"/>
        <w:spacing w:before="100" w:after="100"/>
        <w:ind w:start="360"/>
        <w:ind w:firstLine="360"/>
      </w:pPr>
      <w:r>
        <w:rPr/>
      </w:r>
      <w:r>
        <w:rPr/>
      </w:r>
      <w:r>
        <w:t xml:space="preserve">All copies of documents which have been filed in the office of the Secretary of State, as required or permitted by any provision of this Act, shall, when certified by him, be taken and received in all courts, public offices and official bodies as prima facie evidence of the facts therein stated. A certificate by the Secretary of State under the seal of his office as to the nonexistence of a document in the files of his office shall be taken and received in all courts, public offices and official bodies as prima facie evidence of the nonexistence of such document.</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§1304. Certified copies of documents filed with Secretary of State to be received in evidence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§1304. Certified copies of documents filed with Secretary of State to be received in evidence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§1304. CERTIFIED COPIES OF DOCUMENTS FILED WITH SECRETARY OF STATE TO BE RECEIVED IN EVIDENCE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