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Care and maintenance</w:t>
      </w:r>
    </w:p>
    <w:p>
      <w:pPr>
        <w:jc w:val="both"/>
        <w:spacing w:before="100" w:after="100"/>
        <w:ind w:start="360"/>
        <w:ind w:firstLine="360"/>
      </w:pPr>
      <w:r>
        <w:rPr/>
      </w:r>
      <w:r>
        <w:rPr/>
      </w:r>
      <w:r>
        <w:t xml:space="preserve">The proceeds of the sales of lots and plots in a cemetery shall be applied solely to the management, superintendence, improvement and maintenance of the cemetery and the avenues, paths and structures situated therein, for the purchase of additional cemetery land and for the accumulation of a permanent care and improvement fund. If any indebtedness of a fixed amount is incurred in the purchase of lands for such cemetery, or in making any improvement therein, a sum not exceeding 50% of the gross receipts from the sale of burial lots and plots may be applied to the liquidation of such indebtedness. All moneys received from the sale of personal property and surplus real estate of a cemetery shall be applied first to the liquidation of any fixed indebtedness incurred by it on account of the purchase or improvement of the lands dedicated to cemetery purposes, and any residue remaining after the liquidation of such indebtedness shall be deposited in the permanent care and improvement fund of the cemetery. This section shall not apply to any cemetery now organized and operating.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Care and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Care and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§1305. CARE AND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