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1744</w:t>
        <w:t xml:space="preserve">.  </w:t>
      </w:r>
      <w:r>
        <w:rPr>
          <w:b/>
        </w:rPr>
        <w:t xml:space="preserve">Name; use of "cooperative"</w:t>
      </w:r>
    </w:p>
    <w:p>
      <w:pPr>
        <w:jc w:val="both"/>
        <w:spacing w:before="100" w:after="100"/>
        <w:ind w:start="360"/>
        <w:ind w:firstLine="360"/>
      </w:pPr>
      <w:r>
        <w:rPr/>
      </w:r>
      <w:r>
        <w:rPr/>
      </w:r>
      <w:r>
        <w:t xml:space="preserve">A person, firm, corporation or association, domestic or foreign, commencing business in this State after the effective date of this section may not use the word "cooperative" or "co-op" as a part of its corporate name unless it has complied with this subchapter or any other law of this State relating to cooperative associations.  A foreign association organized under and complying with the cooperative laws of the state in which it was created is entitled to use the term "cooperative" or "co-op" in this State if it has obtained the privilege of doing business or carrying on activities in this State.</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§1744. Name; use of "cooperative"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§1744. Name; use of "cooperative"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§1744. NAME; USE OF "COOPERATIVE"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