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1954</w:t>
        <w:t xml:space="preserve">.  </w:t>
      </w:r>
      <w:r>
        <w:rPr>
          <w:b/>
        </w:rPr>
        <w:t xml:space="preserve">Short title</w:t>
      </w:r>
    </w:p>
    <w:p>
      <w:pPr>
        <w:jc w:val="both"/>
        <w:spacing w:before="100" w:after="100"/>
        <w:ind w:start="360"/>
        <w:ind w:firstLine="360"/>
      </w:pPr>
      <w:r>
        <w:rPr/>
      </w:r>
      <w:r>
        <w:rPr/>
      </w:r>
      <w:r>
        <w:t>Article 6</w:t>
      </w:r>
      <w:r>
        <w:t xml:space="preserve"> shall be known and may be cited as the "Maine Agricultural Marketing and Bargaining Act of 1973."</w:t>
      </w:r>
      <w:r>
        <w:t xml:space="preserve">  </w:t>
      </w:r>
      <w:r xmlns:wp="http://schemas.openxmlformats.org/drawingml/2010/wordprocessingDrawing" xmlns:w15="http://schemas.microsoft.com/office/word/2012/wordml">
        <w:rPr>
          <w:rFonts w:ascii="Arial" w:hAnsi="Arial" w:cs="Arial"/>
          <w:sz w:val="22"/>
          <w:szCs w:val="22"/>
        </w:rPr>
        <w:t xml:space="preserve">[PL 1973, c. 621,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§1954.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§1954.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§1954.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