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2108</w:t>
        <w:t xml:space="preserve">.  </w:t>
      </w:r>
      <w:r>
        <w:rPr>
          <w:b/>
        </w:rPr>
        <w:t xml:space="preserve">Vote; time; majority required</w:t>
      </w:r>
    </w:p>
    <w:p>
      <w:pPr>
        <w:jc w:val="both"/>
        <w:spacing w:before="100" w:after="100"/>
        <w:ind w:start="360"/>
        <w:ind w:firstLine="360"/>
      </w:pPr>
      <w:r>
        <w:rPr/>
      </w:r>
      <w:r>
        <w:rPr/>
      </w:r>
      <w:r>
        <w:t xml:space="preserve">Except as provided in </w:t>
      </w:r>
      <w:r>
        <w:t>section 2109</w:t>
      </w:r>
      <w:r>
        <w:t xml:space="preserve">, the removal shall be voted upon at the next regular or special meeting of the association and, by a vote of a majority of the members, the association may remove the officer or director.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§2108. Vote; time; majority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§2108. Vote; time; majority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§2108. VOTE; TIME; MAJORITY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