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Power of court unaffected by existence or expiration of term</w:t>
      </w:r>
    </w:p>
    <w:p>
      <w:pPr>
        <w:jc w:val="both"/>
        <w:spacing w:before="100" w:after="100"/>
        <w:ind w:start="360"/>
        <w:ind w:firstLine="360"/>
      </w:pPr>
      <w:r>
        <w:rPr/>
      </w:r>
      <w:r>
        <w:rPr/>
      </w:r>
      <w:r>
        <w:t xml:space="preserve">The existence or expiration of a term of court in no way affects the power of a court to do any act or take any proceeding in any civil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§1101. Power of court unaffected by existence or expiration of term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Power of court unaffected by existence or expiration of term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§1101. POWER OF COURT UNAFFECTED BY EXISTENCE OR EXPIRATION OF TERM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