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2001</w:t>
        <w:t xml:space="preserve">.  </w:t>
      </w:r>
      <w:r>
        <w:rPr>
          <w:b/>
        </w:rPr>
        <w:t xml:space="preserve">Real estate levied on; appraisal</w:t>
      </w:r>
    </w:p>
    <w:p>
      <w:pPr>
        <w:jc w:val="both"/>
        <w:spacing w:before="100" w:after="100"/>
        <w:ind w:start="360"/>
        <w:ind w:firstLine="360"/>
      </w:pPr>
      <w:r>
        <w:rPr/>
      </w:r>
      <w:r>
        <w:rPr/>
      </w:r>
      <w:r>
        <w:t xml:space="preserve">Real estate attachable, including the right to cut timber and grass as described in </w:t>
      </w:r>
      <w:r>
        <w:t>chapter 507, subchapter III</w:t>
      </w:r>
      <w:r>
        <w:t xml:space="preserve">, may be taken to satisfy an execution, by causing it to be appraised by 3 disinterested persons, one chosen by the creditor, one by the debtor and the other by the officer having the execution for service, who shall give notice to the debtor or his attorney, residing in the county where the land lies, to choose an appraiser, and shall allow him a reasonable time therefor, and if he neglects, appoint one for him.</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§2001. Real estate levied on; appraisal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§2001. Real estate levied on; appraisal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§2001. REAL ESTATE LEVIED ON; APPRAISAL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