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Prior attachment to delay or defraud creditors void</w:t>
      </w:r>
    </w:p>
    <w:p>
      <w:pPr>
        <w:jc w:val="both"/>
        <w:spacing w:before="100" w:after="100"/>
        <w:ind w:start="360"/>
        <w:ind w:firstLine="360"/>
      </w:pPr>
      <w:r>
        <w:rPr/>
      </w:r>
      <w:r>
        <w:rPr/>
      </w:r>
      <w:r>
        <w:t xml:space="preserve">When it appears by the verdict or otherwise that such prior attachment was made with intent to delay or defraud creditors or that there was collusion between the plaintiff and defendant for that purpose, such attachment is void.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 Prior attachment to delay or defraud creditors void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Prior attachment to delay or defraud creditors void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§206. PRIOR ATTACHMENT TO DELAY OR DEFRAUD CREDITORS VOID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