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Creditor out of State or unknown; payment</w:t>
      </w:r>
    </w:p>
    <w:p>
      <w:pPr>
        <w:jc w:val="both"/>
        <w:spacing w:before="100" w:after="100"/>
        <w:ind w:start="360"/>
        <w:ind w:firstLine="360"/>
      </w:pPr>
      <w:r>
        <w:rPr/>
      </w:r>
      <w:r>
        <w:rPr/>
      </w:r>
      <w:r>
        <w:t xml:space="preserve">Real estate levied on may be redeemed within one year thereafter, by tendering to the creditor the amount of its appraisement with interest from the time of levy, with reasonable expenses incurred for its improvement or repair, or in saving it from loss by the nonpayment of taxes legally assessed thereon prior to the levy, after deducting rents and profits with which he is chargeable. The creditor shall thereupon by his deed prepared at the expense of the debtor release to him all his title to the premises. When the creditor resides out of the State, or his residence is unknown, such payment is sufficient if made to the clerk of courts in the county where the real estate levied upon is situated, and such payment has the same effect as if made to the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Creditor out of State or unknown;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Creditor out of State or unknown;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§2101. CREDITOR OUT OF STATE OR UNKNOWN;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