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Redemption; recovery by nonredeeming debtors</w:t>
      </w:r>
    </w:p>
    <w:p>
      <w:pPr>
        <w:jc w:val="both"/>
        <w:spacing w:before="100" w:after="100"/>
        <w:ind w:start="360"/>
        <w:ind w:firstLine="360"/>
      </w:pPr>
      <w:r>
        <w:rPr/>
      </w:r>
      <w:r>
        <w:rPr/>
      </w:r>
      <w:r>
        <w:t xml:space="preserve">Levies made as provided in </w:t>
      </w:r>
      <w:r>
        <w:t>section 2151</w:t>
      </w:r>
      <w:r>
        <w:t xml:space="preserve"> may be redeemed within one year, as in other cases. When the debtor pays on the mortgage after the levy, and does not redeem, he may recover of the creditor the amount so paid,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 Redemption; recovery by nonredeeming debtors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Redemption; recovery by nonredeeming debtors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§2152. REDEMPTION; RECOVERY BY NONREDEEMING DEBTORS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