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Rights of those judged in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Rights of those judged in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§251. RIGHTS OF THOSE JUDGED IN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