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2624</w:t>
        <w:t xml:space="preserve">.  </w:t>
      </w:r>
      <w:r>
        <w:rPr>
          <w:b/>
        </w:rPr>
        <w:t xml:space="preserve">Defendant summoned as trustee of plaintiff</w:t>
      </w:r>
    </w:p>
    <w:p>
      <w:pPr>
        <w:jc w:val="both"/>
        <w:spacing w:before="100" w:after="100"/>
        <w:ind w:start="360"/>
        <w:ind w:firstLine="360"/>
      </w:pPr>
      <w:r>
        <w:rPr/>
      </w:r>
      <w:r>
        <w:rPr/>
      </w:r>
      <w:r>
        <w:t xml:space="preserve">When an action is brought for the recovery of a demand and the defendant is summoned as a trustee of the plaintiff, the action shall be continued to await the disclosure of the trustee unless the court otherwise orders, and if the defendant is adjudged trustee, the disclosure and the proceedings thereon may be given in evidence on the trial of the action between the trustee and his creditor.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§2624. Defendant summoned as trustee of plaintiff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§2624. Defendant summoned as trustee of plaintiff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§2624. DEFENDANT SUMMONED AS TRUSTEE OF PLAINTIFF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