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2631</w:t>
        <w:t xml:space="preserve">.  </w:t>
      </w:r>
      <w:r>
        <w:rPr>
          <w:b/>
        </w:rPr>
        <w:t xml:space="preserve">Amount chargeable to trustee</w:t>
      </w:r>
    </w:p>
    <w:p>
      <w:pPr>
        <w:jc w:val="both"/>
        <w:spacing w:before="100" w:after="100"/>
        <w:ind w:start="360"/>
        <w:ind w:firstLine="360"/>
      </w:pPr>
      <w:r>
        <w:rPr/>
      </w:r>
      <w:r>
        <w:rPr/>
      </w:r>
      <w:r>
        <w:t xml:space="preserve">When a person is adjudged trustee on disclosure in the original action, the amount for which he is chargeable shall be fixed by the court, subject to appeal, and be conclusive in proceedings after judgment unless, for cause shown, an additional disclosure is allowed. On default, the amount need not be expressed in the judgment. In all proceedings after judgment, if he is adjudged trustee, the amount for which he is chargeable shall be set forth.</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§2631. Amount chargeable to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§2631. Amount chargeable to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§2631. AMOUNT CHARGEABLE TO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