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3001</w:t>
        <w:t xml:space="preserve">.  </w:t>
      </w:r>
      <w:r>
        <w:rPr>
          <w:b/>
        </w:rPr>
        <w:t xml:space="preserve">Liability for costs if discharged in proceedings after judgment</w:t>
      </w:r>
    </w:p>
    <w:p>
      <w:pPr>
        <w:jc w:val="both"/>
        <w:spacing w:before="100" w:after="100"/>
        <w:ind w:start="360"/>
        <w:ind w:firstLine="360"/>
      </w:pPr>
      <w:r>
        <w:rPr/>
      </w:r>
      <w:r>
        <w:rPr/>
      </w:r>
      <w:r>
        <w:t xml:space="preserve">If the trustee appears and answers in the proceedings after judgment and was not examined in the original action, he may be examined as he might have been in the original action. If, on such examination, he appears not chargeable, the court shall render judgment against him for costs only, if resident in the county where the original process was returnable; but if not resident in such county, he shall not pay or recover costs.</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§3001. Liability for costs if discharged in proceedings after judgment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§3001. Liability for costs if discharged in proceedings after judgment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§3001. LIABILITY FOR COSTS IF DISCHARGED IN PROCEEDINGS AFTER JUDGMENT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