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Purpose</w:t>
      </w:r>
    </w:p>
    <w:p>
      <w:pPr>
        <w:jc w:val="both"/>
        <w:spacing w:before="100" w:after="100"/>
        <w:ind w:start="360"/>
        <w:ind w:firstLine="360"/>
      </w:pPr>
      <w:r>
        <w:rPr/>
      </w:r>
      <w:r>
        <w:rPr/>
      </w:r>
      <w:r>
        <w:t xml:space="preserve">The purpose of this chapter is to provide an efficient procedure for the enforcement of money judgments.  It is not an exclusive procedure and may be utilized with any other available procedure.</w:t>
      </w:r>
      <w:r>
        <w:t xml:space="preserve">  </w:t>
      </w:r>
      <w:r xmlns:wp="http://schemas.openxmlformats.org/drawingml/2010/wordprocessingDrawing" xmlns:w15="http://schemas.microsoft.com/office/word/2012/wordml">
        <w:rPr>
          <w:rFonts w:ascii="Arial" w:hAnsi="Arial" w:cs="Arial"/>
          <w:sz w:val="22"/>
          <w:szCs w:val="22"/>
        </w:rPr>
        <w:t xml:space="preserve">[PL 1987, c. 184,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