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Duration of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Duration of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§4601. DURATION OF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