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4605</w:t>
        <w:t xml:space="preserve">.  </w:t>
      </w:r>
      <w:r>
        <w:rPr>
          <w:b/>
        </w:rPr>
        <w:t xml:space="preserve">Failure or refusal to discharge attachment</w:t>
      </w:r>
    </w:p>
    <w:p>
      <w:pPr>
        <w:jc w:val="both"/>
        <w:spacing w:before="100" w:after="100"/>
        <w:ind w:start="360"/>
        <w:ind w:firstLine="360"/>
      </w:pPr>
      <w:r>
        <w:rPr/>
      </w:r>
      <w:r>
        <w:rPr/>
      </w:r>
      <w:r>
        <w:t xml:space="preserve">If the plaintiff shall upon demand unreasonably delay or refuse to discharge the said attachment as prescribed in </w:t>
      </w:r>
      <w:r>
        <w:t>section 4604</w:t>
      </w:r>
      <w:r>
        <w:t xml:space="preserve">, then the defendant by action filed in the county in which the attachment of said real estate was made shall be entitled on proof thereof to have the attachment discharged by a decree of the court duly filed in the registry of deeds, which the register of deeds shall record with reference thereto on the margin of the record of said attachment.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§4605. Failure or refusal to discharge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§4605. Failure or refusal to discharge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§4605. FAILURE OR REFUSAL TO DISCHARGE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