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4606</w:t>
        <w:t xml:space="preserve">.  </w:t>
      </w:r>
      <w:r>
        <w:rPr>
          <w:b/>
        </w:rPr>
        <w:t xml:space="preserve">Petition for valuation and release</w:t>
      </w:r>
    </w:p>
    <w:p>
      <w:pPr>
        <w:jc w:val="both"/>
        <w:spacing w:before="100" w:after="100"/>
        <w:ind w:start="360"/>
        <w:ind w:firstLine="360"/>
      </w:pPr>
      <w:r>
        <w:rPr/>
      </w:r>
      <w:r>
        <w:rPr/>
      </w:r>
      <w:r>
        <w:t xml:space="preserve">Any defendant, whose interest in real estate is attached on mesne process, may petition the Superior Court, setting forth the names of the parties to the action, the court and county in which it is returnable or pending, the fact of the attachment, the particular real estate and his interest therein, its value and his desire to have it released from the attachment. Such court shall issue a written notice which shall be served on all parties to the action living in the State, including trustees mentioned in </w:t>
      </w:r>
      <w:r>
        <w:t>section 4611</w:t>
      </w:r>
      <w:r>
        <w:t xml:space="preserve">, and on the plaintiff's attorney, 10 days at least before the time fixed therein for a hearing.</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§4606. Petition for valuation and release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§4606. Petition for valuation and release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§4606. PETITION FOR VALUATION AND RELEASE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