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5004</w:t>
        <w:t xml:space="preserve">.  </w:t>
      </w:r>
      <w:r>
        <w:rPr>
          <w:b/>
        </w:rPr>
        <w:t xml:space="preserve">Removal of prior attachment</w:t>
      </w:r>
    </w:p>
    <w:p>
      <w:pPr>
        <w:jc w:val="both"/>
        <w:spacing w:before="100" w:after="100"/>
        <w:ind w:start="360"/>
        <w:ind w:firstLine="360"/>
      </w:pPr>
      <w:r>
        <w:rPr/>
      </w:r>
      <w:r>
        <w:rPr/>
      </w:r>
      <w:r>
        <w:t xml:space="preserve">If the prior attachment is dissolved or the estate is set off or sold in part under it, the estate or remaining part thereof continues bound for 30 days thereafter by such seizure on execution. The service of the execution may be completed within that time as if the estate had been then first seized thereon, although the return day of the execution has passed.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§5004. Removal of prior attachment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§5004. Removal of prior attachment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§5004. REMOVAL OF PRIOR ATTACHMENT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