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§504. JURISDICTION BY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